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spacing w:before="0" w:after="120"/>
        <w:jc w:val="right"/>
        <w:rPr>
          <w:rFonts w:eastAsia="Calibri"/>
          <w:b/>
          <w:sz w:val="36"/>
          <w:szCs w:val="36"/>
        </w:rPr>
      </w:pPr>
      <w:r>
        <w:rPr/>
        <w:t>Приложение №1 к ДоЗ</w:t>
      </w:r>
    </w:p>
    <w:p>
      <w:pPr>
        <w:pStyle w:val="Normal"/>
        <w:keepNext w:val="true"/>
        <w:keepLines/>
        <w:spacing w:before="0" w:after="120"/>
        <w:jc w:val="center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</w:r>
    </w:p>
    <w:p>
      <w:pPr>
        <w:pStyle w:val="Normal"/>
        <w:keepNext w:val="true"/>
        <w:keepLines/>
        <w:spacing w:before="0" w:after="120"/>
        <w:jc w:val="center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  <w:t>Требования к Участнику закупки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i w:val="false"/>
          <w:i w:val="false"/>
          <w:iCs w:val="false"/>
          <w:highlight w:val="none"/>
          <w:shd w:fill="auto" w:val="clear"/>
        </w:rPr>
      </w:pPr>
      <w:r>
        <w:rPr>
          <w:i w:val="false"/>
          <w:iCs w:val="false"/>
          <w:shd w:fill="auto" w:val="clear"/>
        </w:rPr>
        <w:t>Поставка горюче-смазочных материалов для нужд Волжского филиала</w:t>
      </w:r>
    </w:p>
    <w:p>
      <w:pPr>
        <w:pStyle w:val="Normal"/>
        <w:keepNext w:val="true"/>
        <w:keepLines/>
        <w:jc w:val="center"/>
        <w:rPr>
          <w:i w:val="false"/>
          <w:i w:val="false"/>
          <w:iCs w:val="false"/>
          <w:highlight w:val="none"/>
          <w:shd w:fill="auto" w:val="clear"/>
        </w:rPr>
      </w:pPr>
      <w:r>
        <w:rPr>
          <w:rFonts w:eastAsia="Calibri"/>
          <w:i w:val="false"/>
          <w:iCs w:val="false"/>
          <w:sz w:val="26"/>
          <w:szCs w:val="26"/>
          <w:shd w:fill="auto" w:val="clear"/>
        </w:rPr>
        <w:t>Лот № 000</w:t>
      </w:r>
      <w:r>
        <w:rPr>
          <w:rFonts w:eastAsia="Calibri"/>
          <w:i w:val="false"/>
          <w:iCs w:val="false"/>
          <w:sz w:val="26"/>
          <w:szCs w:val="26"/>
          <w:shd w:fill="auto" w:val="clear"/>
        </w:rPr>
        <w:t>8</w:t>
      </w:r>
      <w:r>
        <w:rPr>
          <w:rFonts w:eastAsia="Calibri"/>
          <w:i w:val="false"/>
          <w:iCs w:val="false"/>
          <w:sz w:val="26"/>
          <w:szCs w:val="26"/>
          <w:shd w:fill="auto" w:val="clear"/>
        </w:rPr>
        <w:t>-ЭКСП ДОХ-2026-ГРВКК-ВолФ</w:t>
      </w:r>
    </w:p>
    <w:p>
      <w:pPr>
        <w:pStyle w:val="19"/>
        <w:shd w:val="clear" w:color="auto" w:fill="auto"/>
        <w:spacing w:lineRule="exact" w:line="331" w:before="0" w:after="263"/>
        <w:ind w:left="60" w:hanging="0"/>
        <w:jc w:val="center"/>
        <w:rPr>
          <w:color w:val="FF0000"/>
        </w:rPr>
      </w:pPr>
      <w:r>
        <w:rPr>
          <w:color w:val="FF0000"/>
        </w:rPr>
      </w:r>
    </w:p>
    <w:p>
      <w:pPr>
        <w:pStyle w:val="ListParagraph"/>
        <w:keepNext w:val="true"/>
        <w:numPr>
          <w:ilvl w:val="0"/>
          <w:numId w:val="6"/>
        </w:numPr>
        <w:spacing w:before="60" w:after="240"/>
        <w:ind w:left="567" w:hanging="567"/>
        <w:contextualSpacing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Квалификационные требования</w:t>
      </w:r>
    </w:p>
    <w:p>
      <w:pPr>
        <w:pStyle w:val="Normal"/>
        <w:keepNext w:val="true"/>
        <w:spacing w:before="60" w:after="1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Таблица 1. Перечень квалификационных требований</w:t>
      </w:r>
    </w:p>
    <w:tbl>
      <w:tblPr>
        <w:tblW w:w="9923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2"/>
        <w:gridCol w:w="4541"/>
        <w:gridCol w:w="4820"/>
      </w:tblGrid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iCs/>
                <w:sz w:val="22"/>
                <w:szCs w:val="22"/>
                <w:shd w:fill="FFFF99" w:val="clear"/>
              </w:rPr>
            </w:pPr>
            <w:r>
              <w:rPr>
                <w:i/>
                <w:iCs/>
                <w:sz w:val="22"/>
                <w:szCs w:val="22"/>
                <w:shd w:fill="FFFF99" w:val="clear"/>
              </w:rPr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  <w:p>
            <w:pPr>
              <w:pStyle w:val="Normal"/>
              <w:keepNext w:val="true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240"/>
              <w:jc w:val="both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Требования к наличию опыта поставок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Для оценки предпочтительности заявок Участников по оценочному критерию «Опыт оказания услуг» Участник представляет «Справку об опыте участника» по форме, предусмотренной Документацией о закупке, с указанием объемов поставки горюче-смазочных материалов за последние 3 (три) года, предшествующие дате окончания срока подачи заявок на участие в конкурентной закупке, а также за текущий период незавершенного года.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Заказчик вправе запросить копии договоров, подтвержденные в справке сведения.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i/>
                <w:i/>
                <w:iCs/>
                <w:sz w:val="22"/>
                <w:szCs w:val="22"/>
                <w:shd w:fill="FFFF99" w:val="clear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Непредставление вышеуказанных документов, в столбце «Требования к Участникам», не будет служить основанием для отклонения заявки участника. В случае непредставления документов предпочтительность заявке участника предоставлена не будет.</w:t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240"/>
              <w:jc w:val="both"/>
              <w:rPr>
                <w:rFonts w:eastAsia="Calibri"/>
                <w:i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Требования к наличию МТР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2.1. Участник должен иметь собственные, либо привлеченные на законных основаниях у третьих лиц стационарные АЗС и/или сеть АЗС, в количестве, достаточном для обеспечения ГСМ по средствам Карт Покупателя (с учетом условий п.2.2 и п.2.3 ниже).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2.2. Стационарные АЗС и/или ближайшие АЗС сети АЗС Участника должны располагаться вдоль федеральных, региональных автодорог, европейских маршрутов на европейской части России и в обязательном порядке на территории следующих субъектов Российской Федерации с максимальным расстоянием между АЗС не более 300км (учитывается фактическое расстояние по дорогам):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Волгоградская область;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Ставропольский край;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Саратовская область;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Самарская область;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Ульяновская область;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Республика Мордовия;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Нижегородская область;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Ивановская</w:t>
            </w:r>
            <w:bookmarkStart w:id="0" w:name="_GoBack"/>
            <w:bookmarkEnd w:id="0"/>
            <w:r>
              <w:rPr>
                <w:rFonts w:eastAsia="Calibri"/>
                <w:bCs/>
                <w:i/>
                <w:iCs/>
                <w:sz w:val="22"/>
                <w:szCs w:val="22"/>
              </w:rPr>
              <w:t xml:space="preserve"> область;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Владимирская область;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Пермский край;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Республика Удмуртия;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Республика Чувашия;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Республика Татарстан;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Пензенская область;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Тамбовская область;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Рязанская область;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Московская область;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2.3. Стационарные АЗС и/или ближайшие АЗС сети АЗС Участника должны располагаться в следующих городах: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Волгоградская обл. г. Волжский;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Волгоградская обл. г. Волгоград в каждом районе города: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Тракторозаводский район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Краснооктябрьский район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Дзержинский район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Центральный район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Ворошиловский район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Советский район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Кировский район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 Красноармейский район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2.4. Соответствие установленным в п.2.1-2.3 п.2 «Требования к наличию МТР» требованиям подтверждается путем представления Участником закупки в составе заявки: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-сведений по форме «Справка о материально-технических ресурсах», приведенной в Документации о закупке. В справке Участник должен указать фактические адреса места нахождения АЗС и/или ближайшие АЗС сети АЗС, указанных в п.2.1-2.3. п.2 «Требования к наличию МТР», а также фактическое расстояние между АЗС в соответствии с п. 2.2.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-копий документов (выписок из ЕГРП, договоров и т.п.), подтверждающих законное право пользования Участником стационарных АЗС, которые указаны Участником в «Справке о материально-технических ресурсах». В случае отсутствия у Участника на момент подачи заявки подтверждающих законное право пользования стационарных АЗС и/или сети АЗС документов, Участник в составе заявки предоставляет Гарантийное письмо об обязательстве заключения Договоров поставки ГСМ со стационарными АЗС и/или сети АЗС, к моменту заключения договора по результатам настоящей закупочной процедуры (в количестве, достаточном для обеспечения ГСМ по средствам топливных Карт в соответствии с п. 2.1-2.3 п.2 «Требования к наличию МТР»).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eastAsia="Calibri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sz w:val="22"/>
                <w:szCs w:val="22"/>
              </w:rPr>
              <w:t>2.5. Во избежание неверного толкования положений раздела 2 «</w:t>
            </w:r>
            <w:r>
              <w:rPr>
                <w:rFonts w:eastAsia="Calibri"/>
                <w:i/>
                <w:sz w:val="22"/>
                <w:szCs w:val="22"/>
              </w:rPr>
              <w:t>Требования к наличию МТР»</w:t>
            </w:r>
            <w:r>
              <w:rPr>
                <w:rFonts w:eastAsia="Calibri"/>
                <w:bCs/>
                <w:i/>
                <w:iCs/>
                <w:sz w:val="22"/>
                <w:szCs w:val="22"/>
              </w:rPr>
              <w:t>, поясняем, что указанные в пунктах 2.1-2.4. требования являются отборочными критериями для допуска Участника к участию в закупке. Невыполнение одного и более требований, указанных в пунктах 2.1.-2.4, является основанием для отклонения заявки Участника.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8"/>
          <w:b w:val="false"/>
          <w:iCs/>
          <w:sz w:val="22"/>
          <w:szCs w:val="22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first" r:id="rId5"/>
      <w:type w:val="nextPage"/>
      <w:pgSz w:w="11906" w:h="16838"/>
      <w:pgMar w:left="1134" w:right="851" w:gutter="0" w:header="680" w:top="1135" w:footer="737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25963653"/>
    </w:sdtPr>
    <w:sdtContent>
      <w:p>
        <w:pPr>
          <w:pStyle w:val="Footer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6014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uiPriority w:val="99"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8"/>
    <w:qFormat/>
    <w:rsid w:val="004a17ae"/>
    <w:rPr>
      <w:rFonts w:eastAsia="Calibri"/>
      <w:caps/>
      <w:sz w:val="28"/>
      <w:szCs w:val="28"/>
      <w:lang w:eastAsia="en-US"/>
    </w:rPr>
  </w:style>
  <w:style w:type="character" w:styleId="Style14" w:customStyle="1">
    <w:name w:val="Нижний колонтитул Знак"/>
    <w:basedOn w:val="DefaultParagraphFont"/>
    <w:uiPriority w:val="99"/>
    <w:qFormat/>
    <w:rsid w:val="002e457f"/>
    <w:rPr>
      <w:sz w:val="28"/>
      <w:szCs w:val="28"/>
    </w:rPr>
  </w:style>
  <w:style w:type="character" w:styleId="Style15" w:customStyle="1">
    <w:name w:val="Основной текст_"/>
    <w:link w:val="19"/>
    <w:uiPriority w:val="99"/>
    <w:qFormat/>
    <w:locked/>
    <w:rsid w:val="00a45068"/>
    <w:rPr>
      <w:sz w:val="28"/>
      <w:szCs w:val="28"/>
      <w:shd w:fill="FFFFFF" w:val="clear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/>
  </w:style>
  <w:style w:type="paragraph" w:styleId="Style18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9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</w:rPr>
  </w:style>
  <w:style w:type="paragraph" w:styleId="Style2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4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246ad8"/>
    <w:pPr>
      <w:tabs>
        <w:tab w:val="clear" w:pos="708"/>
        <w:tab w:val="left" w:pos="851" w:leader="none"/>
        <w:tab w:val="right" w:pos="9911" w:leader="dot"/>
      </w:tabs>
      <w:spacing w:before="120" w:after="0"/>
      <w:ind w:left="426" w:hanging="426"/>
    </w:pPr>
    <w:rPr>
      <w:sz w:val="24"/>
    </w:rPr>
  </w:style>
  <w:style w:type="paragraph" w:styleId="TOC3">
    <w:name w:val="TOC 3"/>
    <w:basedOn w:val="Normal"/>
    <w:next w:val="Normal"/>
    <w:autoRedefine/>
    <w:uiPriority w:val="39"/>
    <w:rsid w:val="00b42701"/>
    <w:pPr>
      <w:ind w:left="560" w:hanging="0"/>
    </w:pPr>
    <w:rPr>
      <w:sz w:val="24"/>
    </w:rPr>
  </w:style>
  <w:style w:type="paragraph" w:styleId="Style23" w:customStyle="1">
    <w:name w:val="Раздел регламента"/>
    <w:basedOn w:val="Normal"/>
    <w:qFormat/>
    <w:rsid w:val="00e228fa"/>
    <w:pPr/>
    <w:rPr/>
  </w:style>
  <w:style w:type="paragraph" w:styleId="Style24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246ad8"/>
    <w:pPr>
      <w:tabs>
        <w:tab w:val="clear" w:pos="708"/>
        <w:tab w:val="left" w:pos="993" w:leader="none"/>
        <w:tab w:val="right" w:pos="9911" w:leader="dot"/>
      </w:tabs>
      <w:spacing w:before="120" w:after="0"/>
      <w:ind w:firstLine="567"/>
    </w:pPr>
    <w:rPr>
      <w:sz w:val="24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2240" w:hanging="0"/>
    </w:pPr>
    <w:rPr/>
  </w:style>
  <w:style w:type="paragraph" w:styleId="TOC5">
    <w:name w:val="TOC 5"/>
    <w:basedOn w:val="Normal"/>
    <w:next w:val="Normal"/>
    <w:autoRedefine/>
    <w:semiHidden/>
    <w:rsid w:val="00f57628"/>
    <w:pPr>
      <w:ind w:left="1120" w:hanging="0"/>
    </w:pPr>
    <w:rPr/>
  </w:style>
  <w:style w:type="paragraph" w:styleId="TOC4">
    <w:name w:val="TOC 4"/>
    <w:basedOn w:val="Normal"/>
    <w:next w:val="Normal"/>
    <w:autoRedefine/>
    <w:uiPriority w:val="39"/>
    <w:rsid w:val="00f57628"/>
    <w:pPr>
      <w:ind w:left="840" w:hanging="0"/>
    </w:pPr>
    <w:rPr/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</w:rPr>
  </w:style>
  <w:style w:type="paragraph" w:styleId="Style2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</w:rPr>
  </w:style>
  <w:style w:type="paragraph" w:styleId="Style31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styleId="Style33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19" w:customStyle="1">
    <w:name w:val="Основной текст1"/>
    <w:basedOn w:val="Normal"/>
    <w:link w:val="Style15"/>
    <w:uiPriority w:val="99"/>
    <w:qFormat/>
    <w:rsid w:val="00a45068"/>
    <w:pPr>
      <w:widowControl w:val="false"/>
      <w:shd w:val="clear" w:color="auto" w:fill="FFFFFF"/>
      <w:spacing w:lineRule="exact" w:line="302"/>
    </w:pPr>
    <w:rPr/>
  </w:style>
  <w:style w:type="paragraph" w:styleId="Style3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0A733-B6C6-45D0-B141-9E6E92063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AlterOffice/3.4.0.9$Linux_X86_64 LibreOffice_project/b8daf9e823b1a5463a2f48435ddc2e8696e7d4fc</Application>
  <AppVersion>15.0000</AppVersion>
  <Pages>3</Pages>
  <Words>522</Words>
  <Characters>3502</Characters>
  <CharactersWithSpaces>3971</CharactersWithSpaces>
  <Paragraphs>53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2023-09-26T08:01:00Z</dcterms:created>
  <dc:creator>Быстров Олег Геннадьевич</dc:creator>
  <dc:description/>
  <dc:language>ru-RU</dc:language>
  <cp:lastModifiedBy>korolevkv@corp.gidroogk.com</cp:lastModifiedBy>
  <cp:lastPrinted>2006-07-26T14:04:00Z</cp:lastPrinted>
  <dcterms:modified xsi:type="dcterms:W3CDTF">2026-06-02T14:18:48Z</dcterms:modified>
  <cp:revision>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